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07097" w14:textId="77777777" w:rsidR="00245523" w:rsidRDefault="00245523" w:rsidP="00245523">
      <w:pPr>
        <w:spacing w:line="276" w:lineRule="auto"/>
        <w:jc w:val="right"/>
        <w:rPr>
          <w:rFonts w:asciiTheme="minorHAnsi" w:hAnsiTheme="minorHAnsi"/>
        </w:rPr>
      </w:pPr>
      <w:r>
        <w:rPr>
          <w:rFonts w:asciiTheme="minorHAnsi" w:hAnsiTheme="minorHAnsi"/>
        </w:rPr>
        <w:t xml:space="preserve">Załącznik nr 1 do Zaproszenia </w:t>
      </w:r>
    </w:p>
    <w:p w14:paraId="533C0BC0" w14:textId="77777777" w:rsidR="00245523" w:rsidRDefault="00245523" w:rsidP="00245523">
      <w:pPr>
        <w:spacing w:line="276" w:lineRule="auto"/>
        <w:jc w:val="right"/>
        <w:rPr>
          <w:rFonts w:asciiTheme="minorHAnsi" w:hAnsiTheme="minorHAnsi"/>
        </w:rPr>
      </w:pPr>
    </w:p>
    <w:p w14:paraId="419B95BF" w14:textId="77777777" w:rsidR="00F50FE5" w:rsidRPr="00245523" w:rsidRDefault="00F50FE5" w:rsidP="00F50FE5">
      <w:pPr>
        <w:spacing w:line="276" w:lineRule="auto"/>
        <w:jc w:val="center"/>
        <w:rPr>
          <w:rFonts w:asciiTheme="minorHAnsi" w:hAnsiTheme="minorHAnsi"/>
          <w:b/>
        </w:rPr>
      </w:pPr>
      <w:r w:rsidRPr="00245523">
        <w:rPr>
          <w:rFonts w:asciiTheme="minorHAnsi" w:hAnsiTheme="minorHAnsi"/>
          <w:b/>
        </w:rPr>
        <w:t>Opis przedmiotu zamówienia (OPZ)</w:t>
      </w:r>
    </w:p>
    <w:p w14:paraId="08CCA7CB" w14:textId="77777777" w:rsidR="00F50FE5" w:rsidRDefault="00F50FE5"/>
    <w:p w14:paraId="2E4DBD56" w14:textId="77777777" w:rsidR="00F50FE5" w:rsidRDefault="00F50FE5"/>
    <w:p w14:paraId="7765549F" w14:textId="77777777" w:rsidR="00F50FE5" w:rsidRDefault="00F50FE5" w:rsidP="00F50FE5">
      <w:pPr>
        <w:pStyle w:val="Akapitzlist"/>
        <w:numPr>
          <w:ilvl w:val="0"/>
          <w:numId w:val="1"/>
        </w:numPr>
        <w:rPr>
          <w:rFonts w:asciiTheme="minorHAnsi" w:hAnsiTheme="minorHAnsi"/>
        </w:rPr>
      </w:pPr>
      <w:r w:rsidRPr="00F50FE5">
        <w:rPr>
          <w:rFonts w:asciiTheme="minorHAnsi" w:hAnsiTheme="minorHAnsi"/>
        </w:rPr>
        <w:t>Wstęp</w:t>
      </w:r>
    </w:p>
    <w:p w14:paraId="056C4370" w14:textId="77777777" w:rsidR="00CE1473" w:rsidRPr="00F50FE5" w:rsidRDefault="00CE1473" w:rsidP="00CE1473">
      <w:pPr>
        <w:pStyle w:val="Akapitzlist"/>
        <w:rPr>
          <w:rFonts w:asciiTheme="minorHAnsi" w:hAnsiTheme="minorHAnsi"/>
        </w:rPr>
      </w:pPr>
    </w:p>
    <w:p w14:paraId="2563D3EA" w14:textId="77777777" w:rsidR="00F50FE5" w:rsidRPr="00C22B6B" w:rsidRDefault="00F50FE5" w:rsidP="00F50FE5">
      <w:pPr>
        <w:spacing w:line="276" w:lineRule="auto"/>
        <w:rPr>
          <w:rFonts w:asciiTheme="minorHAnsi" w:hAnsiTheme="minorHAnsi" w:cstheme="minorHAnsi"/>
        </w:rPr>
      </w:pPr>
      <w:bookmarkStart w:id="0" w:name="_Toc8460943"/>
      <w:r w:rsidRPr="00C22B6B">
        <w:rPr>
          <w:rFonts w:asciiTheme="minorHAnsi" w:hAnsiTheme="minorHAnsi" w:cstheme="minorHAnsi"/>
        </w:rPr>
        <w:t xml:space="preserve">Polska Agencja Rozwoju Przedsiębiorczości prowadzi działalność wydawniczą od 2001 roku. Corocznie wydawane są nowe publikacje m.in. z zakresu przedsiębiorczości, innowacyjności, stanu sektora małych i średnich przedsiębiorstw, innowacji i technologii, rozwoju zasobów ludzkich. Ponadto PARP przygotowuje i wydaje poradniki dla przedsiębiorców m.in. dotyczące realizacji i rozliczania projektów finansowanych ze środków Unii Europejskiej. W </w:t>
      </w:r>
      <w:r w:rsidRPr="00C22B6B">
        <w:rPr>
          <w:rFonts w:asciiTheme="minorHAnsi" w:hAnsiTheme="minorHAnsi" w:cstheme="minorHAnsi"/>
          <w:kern w:val="32"/>
        </w:rPr>
        <w:t>wyniku prowadzonych badań i analiz opracowywane są publikacje, które mają służyć jak najszerszemu gronu zainteresowanych podmiotów i osób.</w:t>
      </w:r>
      <w:bookmarkEnd w:id="0"/>
      <w:r w:rsidRPr="00C22B6B">
        <w:rPr>
          <w:rFonts w:asciiTheme="minorHAnsi" w:hAnsiTheme="minorHAnsi" w:cstheme="minorHAnsi"/>
          <w:kern w:val="32"/>
        </w:rPr>
        <w:t xml:space="preserve"> </w:t>
      </w:r>
    </w:p>
    <w:p w14:paraId="01C582A4" w14:textId="77777777" w:rsidR="00F50FE5" w:rsidRPr="00C22B6B" w:rsidRDefault="00F50FE5" w:rsidP="00F50FE5">
      <w:pPr>
        <w:spacing w:line="276" w:lineRule="auto"/>
        <w:rPr>
          <w:rFonts w:asciiTheme="minorHAnsi" w:hAnsiTheme="minorHAnsi" w:cstheme="minorHAnsi"/>
        </w:rPr>
      </w:pPr>
    </w:p>
    <w:p w14:paraId="11317DC3" w14:textId="77777777" w:rsidR="00F50FE5" w:rsidRPr="00C22B6B" w:rsidRDefault="00F50FE5" w:rsidP="00F50FE5">
      <w:pPr>
        <w:spacing w:line="276" w:lineRule="auto"/>
        <w:rPr>
          <w:rFonts w:asciiTheme="minorHAnsi" w:hAnsiTheme="minorHAnsi" w:cstheme="minorHAnsi"/>
        </w:rPr>
      </w:pPr>
      <w:bookmarkStart w:id="1" w:name="_Toc8460944"/>
      <w:r w:rsidRPr="00C22B6B">
        <w:rPr>
          <w:rFonts w:asciiTheme="minorHAnsi" w:hAnsiTheme="minorHAnsi" w:cstheme="minorHAnsi"/>
        </w:rPr>
        <w:t>Głównym celem przedmiotu zamówienia jest rozpowszechnianie wiedzy na temat zagadnień związanych z przedsiębiorczością i innowacyjnością oraz działalnością Polskiej Agencji Rozwoju Przedsiębiorczości.</w:t>
      </w:r>
      <w:bookmarkEnd w:id="1"/>
    </w:p>
    <w:p w14:paraId="32B24D74" w14:textId="77777777" w:rsidR="00F50FE5" w:rsidRPr="00C22B6B" w:rsidRDefault="00F50FE5" w:rsidP="00F50FE5">
      <w:pPr>
        <w:spacing w:line="276" w:lineRule="auto"/>
        <w:ind w:right="-1"/>
        <w:rPr>
          <w:rFonts w:asciiTheme="minorHAnsi" w:hAnsiTheme="minorHAnsi" w:cstheme="minorHAnsi"/>
        </w:rPr>
      </w:pPr>
    </w:p>
    <w:p w14:paraId="7D521AAD" w14:textId="77777777" w:rsidR="00F50FE5" w:rsidRPr="00C22B6B" w:rsidRDefault="00F50FE5" w:rsidP="00F50FE5">
      <w:pPr>
        <w:spacing w:line="276" w:lineRule="auto"/>
        <w:ind w:right="-1"/>
        <w:rPr>
          <w:rFonts w:asciiTheme="minorHAnsi" w:hAnsiTheme="minorHAnsi" w:cstheme="minorHAnsi"/>
        </w:rPr>
      </w:pPr>
      <w:r w:rsidRPr="00C22B6B">
        <w:rPr>
          <w:rFonts w:asciiTheme="minorHAnsi" w:hAnsiTheme="minorHAnsi" w:cstheme="minorHAnsi"/>
        </w:rPr>
        <w:t>Grupy docelowe:</w:t>
      </w:r>
    </w:p>
    <w:p w14:paraId="51D66040" w14:textId="77777777" w:rsidR="00F50FE5" w:rsidRPr="00C22B6B" w:rsidRDefault="00F50FE5" w:rsidP="00F50FE5">
      <w:pPr>
        <w:pStyle w:val="Akapitzlist"/>
        <w:numPr>
          <w:ilvl w:val="0"/>
          <w:numId w:val="2"/>
        </w:numPr>
        <w:spacing w:line="276" w:lineRule="auto"/>
        <w:ind w:right="-1"/>
        <w:rPr>
          <w:rFonts w:asciiTheme="minorHAnsi" w:hAnsiTheme="minorHAnsi" w:cstheme="minorHAnsi"/>
          <w:bCs/>
        </w:rPr>
      </w:pPr>
      <w:r w:rsidRPr="00C22B6B">
        <w:rPr>
          <w:rFonts w:asciiTheme="minorHAnsi" w:hAnsiTheme="minorHAnsi" w:cstheme="minorHAnsi"/>
          <w:bCs/>
        </w:rPr>
        <w:t xml:space="preserve">środowiska biznesowe: przedsiębiorcy i instytucje otoczenia biznesu, </w:t>
      </w:r>
    </w:p>
    <w:p w14:paraId="28374567" w14:textId="77777777" w:rsidR="00F50FE5" w:rsidRPr="00C22B6B" w:rsidRDefault="00F50FE5" w:rsidP="00F50FE5">
      <w:pPr>
        <w:pStyle w:val="Akapitzlist"/>
        <w:numPr>
          <w:ilvl w:val="0"/>
          <w:numId w:val="2"/>
        </w:numPr>
        <w:spacing w:line="276" w:lineRule="auto"/>
        <w:ind w:right="-1"/>
        <w:rPr>
          <w:rFonts w:asciiTheme="minorHAnsi" w:hAnsiTheme="minorHAnsi" w:cstheme="minorHAnsi"/>
          <w:bCs/>
        </w:rPr>
      </w:pPr>
      <w:r w:rsidRPr="00C22B6B">
        <w:rPr>
          <w:rFonts w:asciiTheme="minorHAnsi" w:hAnsiTheme="minorHAnsi" w:cstheme="minorHAnsi"/>
          <w:bCs/>
        </w:rPr>
        <w:t>administracja rządowa i samorządowa,</w:t>
      </w:r>
    </w:p>
    <w:p w14:paraId="6B6E4533" w14:textId="77777777" w:rsidR="00F50FE5" w:rsidRPr="00C22B6B" w:rsidRDefault="00F50FE5" w:rsidP="00F50FE5">
      <w:pPr>
        <w:pStyle w:val="Akapitzlist"/>
        <w:numPr>
          <w:ilvl w:val="0"/>
          <w:numId w:val="2"/>
        </w:numPr>
        <w:spacing w:line="276" w:lineRule="auto"/>
        <w:ind w:right="-1"/>
        <w:rPr>
          <w:rFonts w:asciiTheme="minorHAnsi" w:hAnsiTheme="minorHAnsi" w:cstheme="minorHAnsi"/>
          <w:bCs/>
        </w:rPr>
      </w:pPr>
      <w:r w:rsidRPr="00C22B6B">
        <w:rPr>
          <w:rFonts w:asciiTheme="minorHAnsi" w:hAnsiTheme="minorHAnsi" w:cstheme="minorHAnsi"/>
          <w:bCs/>
        </w:rPr>
        <w:t xml:space="preserve">polskie i zagraniczne środowiska akademickie i naukowe, </w:t>
      </w:r>
    </w:p>
    <w:p w14:paraId="0061ABFE" w14:textId="77777777" w:rsidR="00F50FE5" w:rsidRPr="00C22B6B" w:rsidRDefault="00F50FE5" w:rsidP="00F50FE5">
      <w:pPr>
        <w:pStyle w:val="Akapitzlist"/>
        <w:numPr>
          <w:ilvl w:val="0"/>
          <w:numId w:val="2"/>
        </w:numPr>
        <w:spacing w:line="276" w:lineRule="auto"/>
        <w:ind w:right="-1"/>
        <w:rPr>
          <w:rFonts w:asciiTheme="minorHAnsi" w:hAnsiTheme="minorHAnsi" w:cstheme="minorHAnsi"/>
          <w:bCs/>
        </w:rPr>
      </w:pPr>
      <w:r w:rsidRPr="00C22B6B">
        <w:rPr>
          <w:rFonts w:asciiTheme="minorHAnsi" w:hAnsiTheme="minorHAnsi" w:cstheme="minorHAnsi"/>
          <w:bCs/>
        </w:rPr>
        <w:t>beneficjenci i potencjalni beneficjenci Polskiej Agencji Rozwoju Przedsiębiorczości,</w:t>
      </w:r>
    </w:p>
    <w:p w14:paraId="3E0FE97E" w14:textId="77777777" w:rsidR="00F50FE5" w:rsidRPr="00C22B6B" w:rsidRDefault="00F50FE5" w:rsidP="00F50FE5">
      <w:pPr>
        <w:pStyle w:val="Akapitzlist"/>
        <w:numPr>
          <w:ilvl w:val="0"/>
          <w:numId w:val="2"/>
        </w:numPr>
        <w:spacing w:line="276" w:lineRule="auto"/>
        <w:ind w:right="-1"/>
        <w:rPr>
          <w:rFonts w:asciiTheme="minorHAnsi" w:hAnsiTheme="minorHAnsi" w:cstheme="minorHAnsi"/>
          <w:bCs/>
        </w:rPr>
      </w:pPr>
      <w:r w:rsidRPr="00C22B6B">
        <w:rPr>
          <w:rFonts w:asciiTheme="minorHAnsi" w:hAnsiTheme="minorHAnsi" w:cstheme="minorHAnsi"/>
        </w:rPr>
        <w:t>organizacje działające na rzecz rozwoju przedsiębiorczości w Polsce,</w:t>
      </w:r>
    </w:p>
    <w:p w14:paraId="037D65CA" w14:textId="77777777" w:rsidR="00F50FE5" w:rsidRPr="00C22B6B" w:rsidRDefault="00F50FE5" w:rsidP="00F50FE5">
      <w:pPr>
        <w:pStyle w:val="Akapitzlist"/>
        <w:numPr>
          <w:ilvl w:val="0"/>
          <w:numId w:val="2"/>
        </w:numPr>
        <w:spacing w:line="276" w:lineRule="auto"/>
        <w:ind w:right="-1"/>
        <w:rPr>
          <w:rFonts w:asciiTheme="minorHAnsi" w:hAnsiTheme="minorHAnsi" w:cstheme="minorHAnsi"/>
        </w:rPr>
      </w:pPr>
      <w:r w:rsidRPr="00C22B6B">
        <w:rPr>
          <w:rFonts w:asciiTheme="minorHAnsi" w:hAnsiTheme="minorHAnsi" w:cstheme="minorHAnsi"/>
        </w:rPr>
        <w:t>opinia publiczna.</w:t>
      </w:r>
    </w:p>
    <w:p w14:paraId="7CB69E2B" w14:textId="77777777" w:rsidR="00F50FE5" w:rsidRDefault="00F50FE5" w:rsidP="00F50FE5">
      <w:pPr>
        <w:pStyle w:val="Akapitzlist"/>
        <w:rPr>
          <w:rFonts w:asciiTheme="minorHAnsi" w:hAnsiTheme="minorHAnsi"/>
        </w:rPr>
      </w:pPr>
    </w:p>
    <w:p w14:paraId="04DEC2C6" w14:textId="77777777" w:rsidR="00F50FE5" w:rsidRDefault="00F50FE5" w:rsidP="00F50FE5">
      <w:pPr>
        <w:pStyle w:val="Akapitzlist"/>
        <w:numPr>
          <w:ilvl w:val="0"/>
          <w:numId w:val="1"/>
        </w:numPr>
        <w:rPr>
          <w:rFonts w:asciiTheme="minorHAnsi" w:hAnsiTheme="minorHAnsi"/>
        </w:rPr>
      </w:pPr>
      <w:r>
        <w:rPr>
          <w:rFonts w:asciiTheme="minorHAnsi" w:hAnsiTheme="minorHAnsi"/>
        </w:rPr>
        <w:t>Przedmiot zamówienia</w:t>
      </w:r>
    </w:p>
    <w:p w14:paraId="70E2CFD0" w14:textId="77777777" w:rsidR="00CE1473" w:rsidRDefault="00CE1473" w:rsidP="00CE1473">
      <w:pPr>
        <w:pStyle w:val="Akapitzlist"/>
        <w:rPr>
          <w:rFonts w:asciiTheme="minorHAnsi" w:hAnsiTheme="minorHAnsi"/>
        </w:rPr>
      </w:pPr>
    </w:p>
    <w:p w14:paraId="484B4D02" w14:textId="77777777" w:rsidR="00F50FE5" w:rsidRPr="00F50FE5" w:rsidRDefault="00F50FE5" w:rsidP="00F50FE5">
      <w:pPr>
        <w:pStyle w:val="Akapitzlist"/>
        <w:numPr>
          <w:ilvl w:val="1"/>
          <w:numId w:val="4"/>
        </w:numPr>
        <w:spacing w:line="276" w:lineRule="auto"/>
        <w:ind w:right="57"/>
        <w:rPr>
          <w:rFonts w:asciiTheme="minorHAnsi" w:hAnsiTheme="minorHAnsi" w:cstheme="minorHAnsi"/>
          <w:b/>
        </w:rPr>
      </w:pPr>
      <w:r w:rsidRPr="00F50FE5">
        <w:rPr>
          <w:rFonts w:asciiTheme="minorHAnsi" w:hAnsiTheme="minorHAnsi" w:cstheme="minorHAnsi"/>
          <w:b/>
        </w:rPr>
        <w:t xml:space="preserve">Zamówienie polega na </w:t>
      </w:r>
      <w:r>
        <w:rPr>
          <w:rFonts w:asciiTheme="minorHAnsi" w:hAnsiTheme="minorHAnsi" w:cstheme="minorHAnsi"/>
          <w:b/>
        </w:rPr>
        <w:t>druku oraz</w:t>
      </w:r>
      <w:r w:rsidRPr="00F50FE5">
        <w:rPr>
          <w:rFonts w:asciiTheme="minorHAnsi" w:hAnsiTheme="minorHAnsi" w:cstheme="minorHAnsi"/>
          <w:b/>
        </w:rPr>
        <w:t xml:space="preserve"> dostawie publikacji PARP</w:t>
      </w:r>
      <w:r>
        <w:rPr>
          <w:rFonts w:asciiTheme="minorHAnsi" w:hAnsiTheme="minorHAnsi" w:cstheme="minorHAnsi"/>
          <w:b/>
        </w:rPr>
        <w:t xml:space="preserve"> do siedziby PARP</w:t>
      </w:r>
      <w:r w:rsidRPr="00F50FE5">
        <w:rPr>
          <w:rFonts w:asciiTheme="minorHAnsi" w:hAnsiTheme="minorHAnsi" w:cstheme="minorHAnsi"/>
          <w:b/>
        </w:rPr>
        <w:t>.</w:t>
      </w:r>
    </w:p>
    <w:p w14:paraId="0BD615AE" w14:textId="77777777" w:rsidR="00F50FE5" w:rsidRPr="00F50FE5" w:rsidRDefault="00F50FE5" w:rsidP="00F50FE5">
      <w:pPr>
        <w:pStyle w:val="Akapitzlist"/>
        <w:numPr>
          <w:ilvl w:val="1"/>
          <w:numId w:val="4"/>
        </w:numPr>
        <w:spacing w:line="276" w:lineRule="auto"/>
        <w:ind w:right="-1"/>
        <w:rPr>
          <w:rFonts w:asciiTheme="minorHAnsi" w:hAnsiTheme="minorHAnsi" w:cstheme="minorHAnsi"/>
          <w:b/>
        </w:rPr>
      </w:pPr>
      <w:r w:rsidRPr="00F50FE5">
        <w:rPr>
          <w:rFonts w:asciiTheme="minorHAnsi" w:hAnsiTheme="minorHAnsi" w:cstheme="minorHAnsi"/>
        </w:rPr>
        <w:t xml:space="preserve">Parametry techniczne poszczególnych publikacji, format, nakład, szacunkowe liczby stron „maszynopisu”, itd. określa </w:t>
      </w:r>
      <w:r w:rsidR="00CE1473" w:rsidRPr="00CE1473">
        <w:rPr>
          <w:rFonts w:asciiTheme="minorHAnsi" w:hAnsiTheme="minorHAnsi" w:cstheme="minorHAnsi"/>
          <w:b/>
        </w:rPr>
        <w:t>pkt 3.1 Zadanie 1 – Druk publikacji</w:t>
      </w:r>
      <w:r w:rsidR="00CE1473">
        <w:rPr>
          <w:rFonts w:asciiTheme="minorHAnsi" w:hAnsiTheme="minorHAnsi" w:cstheme="minorHAnsi"/>
        </w:rPr>
        <w:t>.</w:t>
      </w:r>
    </w:p>
    <w:p w14:paraId="2F0A606C" w14:textId="77777777" w:rsidR="00F50FE5" w:rsidRPr="00C22B6B" w:rsidRDefault="00F50FE5" w:rsidP="00F50FE5">
      <w:pPr>
        <w:pStyle w:val="Akapitzlist"/>
        <w:numPr>
          <w:ilvl w:val="1"/>
          <w:numId w:val="4"/>
        </w:numPr>
        <w:spacing w:line="276" w:lineRule="auto"/>
        <w:ind w:right="-1"/>
        <w:rPr>
          <w:rFonts w:asciiTheme="minorHAnsi" w:hAnsiTheme="minorHAnsi" w:cstheme="minorHAnsi"/>
        </w:rPr>
      </w:pPr>
      <w:r w:rsidRPr="003452A0">
        <w:rPr>
          <w:rFonts w:asciiTheme="minorHAnsi" w:hAnsiTheme="minorHAnsi" w:cstheme="minorHAnsi"/>
        </w:rPr>
        <w:t>Wszystkie pu</w:t>
      </w:r>
      <w:r>
        <w:rPr>
          <w:rFonts w:asciiTheme="minorHAnsi" w:hAnsiTheme="minorHAnsi" w:cstheme="minorHAnsi"/>
        </w:rPr>
        <w:t xml:space="preserve">blikacje </w:t>
      </w:r>
      <w:r w:rsidRPr="003452A0">
        <w:rPr>
          <w:rFonts w:asciiTheme="minorHAnsi" w:hAnsiTheme="minorHAnsi" w:cstheme="minorHAnsi"/>
        </w:rPr>
        <w:t xml:space="preserve">będą posiadały numer ISBN z zasobów Zamawiającego.     </w:t>
      </w:r>
    </w:p>
    <w:p w14:paraId="3C21C928" w14:textId="77777777" w:rsidR="00F50FE5" w:rsidRPr="00CE1473" w:rsidRDefault="00F50FE5" w:rsidP="00F50FE5">
      <w:pPr>
        <w:pStyle w:val="Akapitzlist"/>
        <w:numPr>
          <w:ilvl w:val="1"/>
          <w:numId w:val="4"/>
        </w:numPr>
        <w:spacing w:line="276" w:lineRule="auto"/>
        <w:ind w:right="-1"/>
        <w:rPr>
          <w:rFonts w:asciiTheme="minorHAnsi" w:hAnsiTheme="minorHAnsi" w:cstheme="minorHAnsi"/>
          <w:b/>
        </w:rPr>
      </w:pPr>
      <w:r w:rsidRPr="003452A0">
        <w:rPr>
          <w:rFonts w:asciiTheme="minorHAnsi" w:hAnsiTheme="minorHAnsi" w:cstheme="minorHAnsi"/>
        </w:rPr>
        <w:t xml:space="preserve">Przez </w:t>
      </w:r>
      <w:r w:rsidR="00245523">
        <w:rPr>
          <w:rFonts w:asciiTheme="minorHAnsi" w:hAnsiTheme="minorHAnsi" w:cstheme="minorHAnsi"/>
        </w:rPr>
        <w:t>„</w:t>
      </w:r>
      <w:r w:rsidRPr="003452A0">
        <w:rPr>
          <w:rFonts w:asciiTheme="minorHAnsi" w:hAnsiTheme="minorHAnsi" w:cstheme="minorHAnsi"/>
        </w:rPr>
        <w:t>publikacj</w:t>
      </w:r>
      <w:r w:rsidR="00245523">
        <w:rPr>
          <w:rFonts w:asciiTheme="minorHAnsi" w:hAnsiTheme="minorHAnsi" w:cstheme="minorHAnsi"/>
        </w:rPr>
        <w:t>e”</w:t>
      </w:r>
      <w:r w:rsidRPr="003452A0">
        <w:rPr>
          <w:rFonts w:asciiTheme="minorHAnsi" w:hAnsiTheme="minorHAnsi" w:cstheme="minorHAnsi"/>
        </w:rPr>
        <w:t xml:space="preserve"> Zamawiający rozumie wszystkie pozycje o charakterze informacyjno-promocyjnym przekazywane do przygotowania w ramach niniejszeg</w:t>
      </w:r>
      <w:r>
        <w:rPr>
          <w:rFonts w:asciiTheme="minorHAnsi" w:hAnsiTheme="minorHAnsi" w:cstheme="minorHAnsi"/>
        </w:rPr>
        <w:t>o zamówienia</w:t>
      </w:r>
      <w:r w:rsidR="00245523">
        <w:rPr>
          <w:rFonts w:asciiTheme="minorHAnsi" w:hAnsiTheme="minorHAnsi" w:cstheme="minorHAnsi"/>
        </w:rPr>
        <w:t xml:space="preserve">, tj. </w:t>
      </w:r>
      <w:r>
        <w:rPr>
          <w:rFonts w:asciiTheme="minorHAnsi" w:hAnsiTheme="minorHAnsi" w:cstheme="minorHAnsi"/>
        </w:rPr>
        <w:t>: broszur</w:t>
      </w:r>
      <w:r w:rsidR="00245523">
        <w:rPr>
          <w:rFonts w:asciiTheme="minorHAnsi" w:hAnsiTheme="minorHAnsi" w:cstheme="minorHAnsi"/>
        </w:rPr>
        <w:t>y</w:t>
      </w:r>
      <w:r w:rsidRPr="003452A0">
        <w:rPr>
          <w:rFonts w:asciiTheme="minorHAnsi" w:hAnsiTheme="minorHAnsi" w:cstheme="minorHAnsi"/>
        </w:rPr>
        <w:t xml:space="preserve">. </w:t>
      </w:r>
    </w:p>
    <w:p w14:paraId="772EC6AA" w14:textId="77777777" w:rsidR="00D11DC2" w:rsidRDefault="00D11DC2" w:rsidP="00D11DC2">
      <w:pPr>
        <w:pStyle w:val="Akapitzlist"/>
        <w:numPr>
          <w:ilvl w:val="0"/>
          <w:numId w:val="1"/>
        </w:numPr>
        <w:rPr>
          <w:rFonts w:asciiTheme="minorHAnsi" w:hAnsiTheme="minorHAnsi" w:cstheme="minorHAnsi"/>
        </w:rPr>
      </w:pPr>
      <w:r w:rsidRPr="00D11DC2">
        <w:rPr>
          <w:rFonts w:asciiTheme="minorHAnsi" w:hAnsiTheme="minorHAnsi" w:cstheme="minorHAnsi"/>
        </w:rPr>
        <w:t xml:space="preserve">Szczegółowe zadania Wykonawcy </w:t>
      </w:r>
    </w:p>
    <w:p w14:paraId="58885E5E" w14:textId="77777777" w:rsidR="00D11DC2" w:rsidRPr="00CE1473" w:rsidRDefault="00F50FE5" w:rsidP="00D11DC2">
      <w:pPr>
        <w:pStyle w:val="Akapitzlist"/>
        <w:numPr>
          <w:ilvl w:val="1"/>
          <w:numId w:val="6"/>
        </w:numPr>
        <w:rPr>
          <w:rFonts w:asciiTheme="minorHAnsi" w:hAnsiTheme="minorHAnsi" w:cstheme="minorHAnsi"/>
        </w:rPr>
      </w:pPr>
      <w:bookmarkStart w:id="2" w:name="_Toc8577357"/>
      <w:bookmarkStart w:id="3" w:name="_Toc8578525"/>
      <w:bookmarkStart w:id="4" w:name="_Toc8578647"/>
      <w:bookmarkStart w:id="5" w:name="_Toc8578837"/>
      <w:bookmarkStart w:id="6" w:name="_Toc8736994"/>
      <w:r w:rsidRPr="00D11DC2">
        <w:rPr>
          <w:rFonts w:asciiTheme="minorHAnsi" w:hAnsiTheme="minorHAnsi" w:cstheme="minorHAnsi"/>
          <w:b/>
        </w:rPr>
        <w:t>Zadanie 1 - Druk publikacji</w:t>
      </w:r>
      <w:bookmarkEnd w:id="2"/>
      <w:bookmarkEnd w:id="3"/>
      <w:bookmarkEnd w:id="4"/>
      <w:bookmarkEnd w:id="5"/>
      <w:bookmarkEnd w:id="6"/>
    </w:p>
    <w:p w14:paraId="02992AAC" w14:textId="77777777" w:rsidR="00CE1473" w:rsidRDefault="00CE1473" w:rsidP="00CE1473">
      <w:pPr>
        <w:pStyle w:val="Akapitzlist"/>
        <w:ind w:left="1070"/>
        <w:rPr>
          <w:rFonts w:asciiTheme="minorHAnsi" w:hAnsiTheme="minorHAnsi" w:cstheme="minorHAnsi"/>
          <w:b/>
        </w:rPr>
      </w:pPr>
    </w:p>
    <w:p w14:paraId="4906B8E3" w14:textId="77777777" w:rsidR="00CE1473" w:rsidRDefault="00CE1473" w:rsidP="00CE1473">
      <w:pPr>
        <w:pStyle w:val="Akapitzlist"/>
        <w:numPr>
          <w:ilvl w:val="2"/>
          <w:numId w:val="6"/>
        </w:numPr>
        <w:rPr>
          <w:rFonts w:asciiTheme="minorHAnsi" w:hAnsiTheme="minorHAnsi" w:cstheme="minorHAnsi"/>
        </w:rPr>
      </w:pPr>
      <w:r>
        <w:rPr>
          <w:rFonts w:asciiTheme="minorHAnsi" w:hAnsiTheme="minorHAnsi" w:cstheme="minorHAnsi"/>
        </w:rPr>
        <w:lastRenderedPageBreak/>
        <w:t>Wykonawca po otrzymaniu plików produkcyjnych przystąpi do druku publikacji, tj.:</w:t>
      </w:r>
    </w:p>
    <w:p w14:paraId="21EFC359" w14:textId="77777777" w:rsidR="00CE1473" w:rsidRDefault="00CE1473" w:rsidP="004762CE">
      <w:pPr>
        <w:pStyle w:val="Akapitzlist"/>
        <w:numPr>
          <w:ilvl w:val="3"/>
          <w:numId w:val="6"/>
        </w:numPr>
        <w:rPr>
          <w:rFonts w:asciiTheme="minorHAnsi" w:hAnsiTheme="minorHAnsi" w:cstheme="minorHAnsi"/>
        </w:rPr>
      </w:pPr>
      <w:r w:rsidRPr="004762CE">
        <w:rPr>
          <w:rFonts w:asciiTheme="minorHAnsi" w:hAnsiTheme="minorHAnsi" w:cstheme="minorHAnsi"/>
          <w:b/>
        </w:rPr>
        <w:t>Broszury POIR</w:t>
      </w:r>
      <w:r>
        <w:rPr>
          <w:rFonts w:asciiTheme="minorHAnsi" w:hAnsiTheme="minorHAnsi" w:cstheme="minorHAnsi"/>
        </w:rPr>
        <w:t xml:space="preserve"> –</w:t>
      </w:r>
      <w:r w:rsidR="004762CE">
        <w:rPr>
          <w:rFonts w:asciiTheme="minorHAnsi" w:hAnsiTheme="minorHAnsi" w:cstheme="minorHAnsi"/>
        </w:rPr>
        <w:t xml:space="preserve"> nakład </w:t>
      </w:r>
      <w:r w:rsidR="00974AD7">
        <w:rPr>
          <w:rFonts w:asciiTheme="minorHAnsi" w:hAnsiTheme="minorHAnsi" w:cstheme="minorHAnsi"/>
        </w:rPr>
        <w:t>5</w:t>
      </w:r>
      <w:r w:rsidR="004762CE">
        <w:rPr>
          <w:rFonts w:asciiTheme="minorHAnsi" w:hAnsiTheme="minorHAnsi" w:cstheme="minorHAnsi"/>
        </w:rPr>
        <w:t>00 szt.; objętość 78</w:t>
      </w:r>
      <w:r>
        <w:rPr>
          <w:rFonts w:asciiTheme="minorHAnsi" w:hAnsiTheme="minorHAnsi" w:cstheme="minorHAnsi"/>
        </w:rPr>
        <w:t xml:space="preserve"> str., w tym 30% publikacji stanowią tabele lub wykresy lub infografiki</w:t>
      </w:r>
      <w:r w:rsidR="004762CE">
        <w:rPr>
          <w:rFonts w:asciiTheme="minorHAnsi" w:hAnsiTheme="minorHAnsi" w:cstheme="minorHAnsi"/>
        </w:rPr>
        <w:t xml:space="preserve">; Format publikacji: 170x220 łącznie z oprawą. Wytyczne druku środka publikacji: </w:t>
      </w:r>
      <w:r w:rsidR="004762CE" w:rsidRPr="004762CE">
        <w:rPr>
          <w:rFonts w:asciiTheme="minorHAnsi" w:hAnsiTheme="minorHAnsi" w:cstheme="minorHAnsi"/>
        </w:rPr>
        <w:t>druk na papierze offsetowym ekologicznym, niepowlekanym, maszynowo gładzonym, o gramaturze nie mniej niż 80 -90 g/m2, nieprzezroczystość nie mniej niż 90%, przeznaczony do druku offsetowego kolor biały, kolor: 4+4</w:t>
      </w:r>
      <w:r w:rsidR="004762CE">
        <w:rPr>
          <w:rFonts w:asciiTheme="minorHAnsi" w:hAnsiTheme="minorHAnsi" w:cstheme="minorHAnsi"/>
        </w:rPr>
        <w:t xml:space="preserve">. Wytyczne druku okładki: </w:t>
      </w:r>
      <w:r w:rsidR="004762CE" w:rsidRPr="004762CE">
        <w:rPr>
          <w:rFonts w:asciiTheme="minorHAnsi" w:hAnsiTheme="minorHAnsi" w:cstheme="minorHAnsi"/>
        </w:rPr>
        <w:t xml:space="preserve">miękka z grzbietem prostym, </w:t>
      </w:r>
      <w:r w:rsidR="004762CE" w:rsidRPr="00245523">
        <w:rPr>
          <w:rFonts w:asciiTheme="minorHAnsi" w:hAnsiTheme="minorHAnsi" w:cstheme="minorHAnsi"/>
          <w:b/>
        </w:rPr>
        <w:t>zawierająca informację w alfabecie Braille’a</w:t>
      </w:r>
      <w:r w:rsidR="004762CE" w:rsidRPr="004762CE">
        <w:rPr>
          <w:rFonts w:asciiTheme="minorHAnsi" w:hAnsiTheme="minorHAnsi" w:cstheme="minorHAnsi"/>
        </w:rPr>
        <w:t xml:space="preserve">. Druk okładki powinien zostać wykonany na jednostronnie powlekanym kartonie ekologicznym </w:t>
      </w:r>
      <w:r w:rsidR="00A50B32">
        <w:rPr>
          <w:rFonts w:asciiTheme="minorHAnsi" w:hAnsiTheme="minorHAnsi" w:cstheme="minorHAnsi"/>
        </w:rPr>
        <w:t>ok. 22</w:t>
      </w:r>
      <w:r w:rsidR="004762CE" w:rsidRPr="004762CE">
        <w:rPr>
          <w:rFonts w:asciiTheme="minorHAnsi" w:hAnsiTheme="minorHAnsi" w:cstheme="minorHAnsi"/>
        </w:rPr>
        <w:t xml:space="preserve">0 g/m2, ze skrzydełkami </w:t>
      </w:r>
      <w:r w:rsidR="00245523">
        <w:rPr>
          <w:rFonts w:asciiTheme="minorHAnsi" w:hAnsiTheme="minorHAnsi" w:cstheme="minorHAnsi"/>
        </w:rPr>
        <w:br/>
      </w:r>
      <w:r w:rsidR="004762CE" w:rsidRPr="004762CE">
        <w:rPr>
          <w:rFonts w:asciiTheme="minorHAnsi" w:hAnsiTheme="minorHAnsi" w:cstheme="minorHAnsi"/>
        </w:rPr>
        <w:t>o szerokości 100 mm, zabezpieczenie folią ma</w:t>
      </w:r>
      <w:r w:rsidR="00245523">
        <w:rPr>
          <w:rFonts w:asciiTheme="minorHAnsi" w:hAnsiTheme="minorHAnsi" w:cstheme="minorHAnsi"/>
        </w:rPr>
        <w:t>tową, kolor 4+4. Oprawa klejona;</w:t>
      </w:r>
    </w:p>
    <w:p w14:paraId="0625E083" w14:textId="77777777" w:rsidR="00CE1473" w:rsidRDefault="00CE1473" w:rsidP="00CE1473">
      <w:pPr>
        <w:pStyle w:val="Akapitzlist"/>
        <w:numPr>
          <w:ilvl w:val="3"/>
          <w:numId w:val="6"/>
        </w:numPr>
        <w:rPr>
          <w:rFonts w:asciiTheme="minorHAnsi" w:hAnsiTheme="minorHAnsi" w:cstheme="minorHAnsi"/>
        </w:rPr>
      </w:pPr>
      <w:r w:rsidRPr="004762CE">
        <w:rPr>
          <w:rFonts w:asciiTheme="minorHAnsi" w:hAnsiTheme="minorHAnsi" w:cstheme="minorHAnsi"/>
          <w:b/>
        </w:rPr>
        <w:t>Broszury POPW</w:t>
      </w:r>
      <w:r w:rsidR="004762CE">
        <w:rPr>
          <w:rFonts w:asciiTheme="minorHAnsi" w:hAnsiTheme="minorHAnsi" w:cstheme="minorHAnsi"/>
        </w:rPr>
        <w:t xml:space="preserve"> – nakład 1000 szt.; objętość 73 str., w tym 30% publikacji stanowią tabele lub wykresy lub infografiki; Format publikacji: 170x220 łącznie z oprawą. Wytyczne druku środka publikacji: </w:t>
      </w:r>
      <w:r w:rsidR="004762CE" w:rsidRPr="004762CE">
        <w:rPr>
          <w:rFonts w:asciiTheme="minorHAnsi" w:hAnsiTheme="minorHAnsi" w:cstheme="minorHAnsi"/>
        </w:rPr>
        <w:t>druk na papierze offsetowym ekologicznym, niepowlekanym, maszynowo gładzonym, o gramaturze nie mniej niż 80 -90 g/m2, nieprzezroczystość nie mniej niż 90%, przeznaczony do druku offsetowego kolor biały, kolor: 4+4</w:t>
      </w:r>
      <w:r w:rsidR="004762CE">
        <w:rPr>
          <w:rFonts w:asciiTheme="minorHAnsi" w:hAnsiTheme="minorHAnsi" w:cstheme="minorHAnsi"/>
        </w:rPr>
        <w:t xml:space="preserve">. Wytyczne druku okładki: </w:t>
      </w:r>
      <w:r w:rsidR="004762CE" w:rsidRPr="004762CE">
        <w:rPr>
          <w:rFonts w:asciiTheme="minorHAnsi" w:hAnsiTheme="minorHAnsi" w:cstheme="minorHAnsi"/>
        </w:rPr>
        <w:t xml:space="preserve">miękka z grzbietem prostym, </w:t>
      </w:r>
      <w:r w:rsidR="004762CE" w:rsidRPr="00245523">
        <w:rPr>
          <w:rFonts w:asciiTheme="minorHAnsi" w:hAnsiTheme="minorHAnsi" w:cstheme="minorHAnsi"/>
          <w:b/>
        </w:rPr>
        <w:t>zawierająca informację w alfabecie Braille’a</w:t>
      </w:r>
      <w:r w:rsidR="004762CE" w:rsidRPr="004762CE">
        <w:rPr>
          <w:rFonts w:asciiTheme="minorHAnsi" w:hAnsiTheme="minorHAnsi" w:cstheme="minorHAnsi"/>
        </w:rPr>
        <w:t xml:space="preserve">. Druk okładki powinien zostać wykonany na jednostronnie powlekanym kartonie ekologicznym </w:t>
      </w:r>
      <w:r w:rsidR="00A50B32">
        <w:rPr>
          <w:rFonts w:asciiTheme="minorHAnsi" w:hAnsiTheme="minorHAnsi" w:cstheme="minorHAnsi"/>
        </w:rPr>
        <w:t>ok. 22</w:t>
      </w:r>
      <w:r w:rsidR="004762CE" w:rsidRPr="004762CE">
        <w:rPr>
          <w:rFonts w:asciiTheme="minorHAnsi" w:hAnsiTheme="minorHAnsi" w:cstheme="minorHAnsi"/>
        </w:rPr>
        <w:t>0 g/m2, ze skrzydełkami o szerokości 100 mm, zabezpieczenie folią ma</w:t>
      </w:r>
      <w:r w:rsidR="00245523">
        <w:rPr>
          <w:rFonts w:asciiTheme="minorHAnsi" w:hAnsiTheme="minorHAnsi" w:cstheme="minorHAnsi"/>
        </w:rPr>
        <w:t>tową, kolor 4+4. Oprawa klejona;</w:t>
      </w:r>
    </w:p>
    <w:p w14:paraId="7622B763" w14:textId="77777777" w:rsidR="00F50FE5" w:rsidRPr="004762CE" w:rsidRDefault="00CE1473" w:rsidP="004762CE">
      <w:pPr>
        <w:pStyle w:val="Akapitzlist"/>
        <w:numPr>
          <w:ilvl w:val="3"/>
          <w:numId w:val="6"/>
        </w:numPr>
        <w:rPr>
          <w:rFonts w:asciiTheme="minorHAnsi" w:hAnsiTheme="minorHAnsi" w:cstheme="minorHAnsi"/>
        </w:rPr>
      </w:pPr>
      <w:r w:rsidRPr="004762CE">
        <w:rPr>
          <w:rFonts w:asciiTheme="minorHAnsi" w:hAnsiTheme="minorHAnsi" w:cstheme="minorHAnsi"/>
          <w:b/>
        </w:rPr>
        <w:t>Broszury POWER</w:t>
      </w:r>
      <w:r w:rsidR="004762CE">
        <w:rPr>
          <w:rFonts w:asciiTheme="minorHAnsi" w:hAnsiTheme="minorHAnsi" w:cstheme="minorHAnsi"/>
        </w:rPr>
        <w:t xml:space="preserve"> – nakład 1000 szt.; objętość 70 str., w tym 30% publikacji stanowią tabele lub wykresy lub infografiki; Format publikacji: 170x220 łącznie z oprawą. Wytyczne druku środka publikacji: </w:t>
      </w:r>
      <w:r w:rsidR="004762CE" w:rsidRPr="004762CE">
        <w:rPr>
          <w:rFonts w:asciiTheme="minorHAnsi" w:hAnsiTheme="minorHAnsi" w:cstheme="minorHAnsi"/>
        </w:rPr>
        <w:t>druk na papierze offsetowym ekologicznym, niepowlekanym, maszynowo gładzonym, o gramaturze nie mniej niż 80 -90 g/m2, nieprzezroczystość nie mniej niż 90%, przeznaczony do druku offsetowego kolor biały, kolor: 4+4</w:t>
      </w:r>
      <w:r w:rsidR="004762CE">
        <w:rPr>
          <w:rFonts w:asciiTheme="minorHAnsi" w:hAnsiTheme="minorHAnsi" w:cstheme="minorHAnsi"/>
        </w:rPr>
        <w:t xml:space="preserve">. Wytyczne druku okładki: </w:t>
      </w:r>
      <w:r w:rsidR="004762CE" w:rsidRPr="004762CE">
        <w:rPr>
          <w:rFonts w:asciiTheme="minorHAnsi" w:hAnsiTheme="minorHAnsi" w:cstheme="minorHAnsi"/>
        </w:rPr>
        <w:t xml:space="preserve">miękka z grzbietem prostym, </w:t>
      </w:r>
      <w:r w:rsidR="004762CE" w:rsidRPr="00245523">
        <w:rPr>
          <w:rFonts w:asciiTheme="minorHAnsi" w:hAnsiTheme="minorHAnsi" w:cstheme="minorHAnsi"/>
          <w:b/>
        </w:rPr>
        <w:t>zawierająca informację w alfabecie Braille’a</w:t>
      </w:r>
      <w:r w:rsidR="004762CE" w:rsidRPr="004762CE">
        <w:rPr>
          <w:rFonts w:asciiTheme="minorHAnsi" w:hAnsiTheme="minorHAnsi" w:cstheme="minorHAnsi"/>
        </w:rPr>
        <w:t xml:space="preserve">. Druk okładki powinien zostać wykonany na jednostronnie powlekanym kartonie ekologicznym </w:t>
      </w:r>
      <w:r w:rsidR="00A50B32">
        <w:rPr>
          <w:rFonts w:asciiTheme="minorHAnsi" w:hAnsiTheme="minorHAnsi" w:cstheme="minorHAnsi"/>
        </w:rPr>
        <w:t>ok. 22</w:t>
      </w:r>
      <w:r w:rsidR="004762CE" w:rsidRPr="004762CE">
        <w:rPr>
          <w:rFonts w:asciiTheme="minorHAnsi" w:hAnsiTheme="minorHAnsi" w:cstheme="minorHAnsi"/>
        </w:rPr>
        <w:t>0 g/m2, ze skrzydełkami o szerokości 100 mm, zabezpieczenie folią matową, kolor 4+4. Oprawa klejona.</w:t>
      </w:r>
    </w:p>
    <w:p w14:paraId="2CE23AD7" w14:textId="0F9E482A" w:rsidR="00D11DC2" w:rsidRDefault="00F50FE5" w:rsidP="00245523">
      <w:pPr>
        <w:pStyle w:val="Nagwek1"/>
        <w:numPr>
          <w:ilvl w:val="1"/>
          <w:numId w:val="6"/>
        </w:numPr>
        <w:spacing w:before="0" w:after="0" w:line="276" w:lineRule="auto"/>
        <w:rPr>
          <w:rFonts w:asciiTheme="minorHAnsi" w:hAnsiTheme="minorHAnsi" w:cstheme="minorHAnsi"/>
          <w:sz w:val="24"/>
          <w:szCs w:val="24"/>
        </w:rPr>
      </w:pPr>
      <w:bookmarkStart w:id="7" w:name="_Toc8577358"/>
      <w:bookmarkStart w:id="8" w:name="_Toc8578526"/>
      <w:bookmarkStart w:id="9" w:name="_Toc8578648"/>
      <w:bookmarkStart w:id="10" w:name="_Toc8578838"/>
      <w:bookmarkStart w:id="11" w:name="_Toc8736995"/>
      <w:r w:rsidRPr="009E01DE">
        <w:rPr>
          <w:rFonts w:asciiTheme="minorHAnsi" w:hAnsiTheme="minorHAnsi" w:cstheme="minorHAnsi"/>
          <w:sz w:val="24"/>
          <w:szCs w:val="24"/>
        </w:rPr>
        <w:lastRenderedPageBreak/>
        <w:t xml:space="preserve">Zadanie </w:t>
      </w:r>
      <w:r>
        <w:rPr>
          <w:rFonts w:asciiTheme="minorHAnsi" w:hAnsiTheme="minorHAnsi" w:cstheme="minorHAnsi"/>
          <w:sz w:val="24"/>
          <w:szCs w:val="24"/>
        </w:rPr>
        <w:t>2</w:t>
      </w:r>
      <w:r w:rsidRPr="009E01DE">
        <w:rPr>
          <w:rFonts w:asciiTheme="minorHAnsi" w:hAnsiTheme="minorHAnsi" w:cstheme="minorHAnsi"/>
          <w:sz w:val="24"/>
          <w:szCs w:val="24"/>
        </w:rPr>
        <w:t xml:space="preserve"> - Dostawa publikacji</w:t>
      </w:r>
      <w:bookmarkStart w:id="12" w:name="_GoBack"/>
      <w:bookmarkEnd w:id="7"/>
      <w:bookmarkEnd w:id="8"/>
      <w:bookmarkEnd w:id="9"/>
      <w:bookmarkEnd w:id="10"/>
      <w:bookmarkEnd w:id="11"/>
      <w:bookmarkEnd w:id="12"/>
    </w:p>
    <w:p w14:paraId="7DF816E7" w14:textId="77777777" w:rsidR="00F50FE5" w:rsidRPr="00D11DC2" w:rsidRDefault="00F50FE5" w:rsidP="00245523">
      <w:pPr>
        <w:pStyle w:val="Nagwek1"/>
        <w:numPr>
          <w:ilvl w:val="2"/>
          <w:numId w:val="6"/>
        </w:numPr>
        <w:spacing w:before="0" w:after="0" w:line="276" w:lineRule="auto"/>
        <w:rPr>
          <w:rFonts w:asciiTheme="minorHAnsi" w:hAnsiTheme="minorHAnsi" w:cstheme="minorHAnsi"/>
          <w:b w:val="0"/>
          <w:bCs w:val="0"/>
          <w:kern w:val="0"/>
          <w:sz w:val="24"/>
          <w:szCs w:val="24"/>
        </w:rPr>
      </w:pPr>
      <w:r w:rsidRPr="00D11DC2">
        <w:rPr>
          <w:rFonts w:asciiTheme="minorHAnsi" w:hAnsiTheme="minorHAnsi" w:cstheme="minorHAnsi"/>
          <w:b w:val="0"/>
          <w:bCs w:val="0"/>
          <w:kern w:val="0"/>
          <w:sz w:val="24"/>
          <w:szCs w:val="24"/>
        </w:rPr>
        <w:t>Po dokonaniu druku publikacji, Wykonawca będzie zobowiązany do:</w:t>
      </w:r>
    </w:p>
    <w:p w14:paraId="3193A317" w14:textId="77777777" w:rsidR="00D11DC2" w:rsidRDefault="00F50FE5" w:rsidP="00245523">
      <w:pPr>
        <w:pStyle w:val="Akapitzlist"/>
        <w:numPr>
          <w:ilvl w:val="3"/>
          <w:numId w:val="6"/>
        </w:numPr>
        <w:spacing w:line="276" w:lineRule="auto"/>
        <w:rPr>
          <w:rFonts w:asciiTheme="minorHAnsi" w:hAnsiTheme="minorHAnsi" w:cstheme="minorHAnsi"/>
        </w:rPr>
      </w:pPr>
      <w:r w:rsidRPr="00C22B6B">
        <w:rPr>
          <w:rFonts w:asciiTheme="minorHAnsi" w:hAnsiTheme="minorHAnsi" w:cstheme="minorHAnsi"/>
        </w:rPr>
        <w:t>spakowania w trwałe i mocne paczki oprawionych egzemplarzy publikacji i opisanie czytelne paczek (m.in. tytuł publikacji, liczba egzemplarzy, napis PARP)</w:t>
      </w:r>
      <w:r w:rsidRPr="0014107B">
        <w:rPr>
          <w:rFonts w:asciiTheme="minorHAnsi" w:hAnsiTheme="minorHAnsi" w:cstheme="minorHAnsi"/>
        </w:rPr>
        <w:t>,</w:t>
      </w:r>
    </w:p>
    <w:p w14:paraId="07E476E9" w14:textId="77777777" w:rsidR="00D11DC2" w:rsidRDefault="00F50FE5" w:rsidP="00245523">
      <w:pPr>
        <w:pStyle w:val="Akapitzlist"/>
        <w:numPr>
          <w:ilvl w:val="3"/>
          <w:numId w:val="6"/>
        </w:numPr>
        <w:spacing w:line="276" w:lineRule="auto"/>
        <w:rPr>
          <w:rFonts w:asciiTheme="minorHAnsi" w:hAnsiTheme="minorHAnsi" w:cstheme="minorHAnsi"/>
        </w:rPr>
      </w:pPr>
      <w:r w:rsidRPr="00D11DC2">
        <w:rPr>
          <w:rFonts w:asciiTheme="minorHAnsi" w:hAnsiTheme="minorHAnsi" w:cstheme="minorHAnsi"/>
        </w:rPr>
        <w:t>dostarczenia spakowanych publikacji do siedziby Zamawiającego,</w:t>
      </w:r>
    </w:p>
    <w:p w14:paraId="62B27C0B" w14:textId="77777777" w:rsidR="00F50FE5" w:rsidRPr="00D11DC2" w:rsidRDefault="00F50FE5" w:rsidP="00245523">
      <w:pPr>
        <w:pStyle w:val="Akapitzlist"/>
        <w:numPr>
          <w:ilvl w:val="3"/>
          <w:numId w:val="6"/>
        </w:numPr>
        <w:spacing w:line="276" w:lineRule="auto"/>
        <w:rPr>
          <w:rFonts w:asciiTheme="minorHAnsi" w:hAnsiTheme="minorHAnsi" w:cstheme="minorHAnsi"/>
        </w:rPr>
      </w:pPr>
      <w:r w:rsidRPr="00D11DC2">
        <w:rPr>
          <w:rFonts w:asciiTheme="minorHAnsi" w:hAnsiTheme="minorHAnsi" w:cstheme="minorHAnsi"/>
        </w:rPr>
        <w:t>dokonania wyładunku oraz złożenia publikacji w siedzibie Zamawiającego, w miejscu przez niego wskazanym.</w:t>
      </w:r>
    </w:p>
    <w:p w14:paraId="744DA30F" w14:textId="77777777" w:rsidR="00F50FE5" w:rsidRDefault="00F50FE5" w:rsidP="00245523">
      <w:pPr>
        <w:pStyle w:val="Akapitzlist"/>
        <w:numPr>
          <w:ilvl w:val="2"/>
          <w:numId w:val="6"/>
        </w:numPr>
        <w:spacing w:line="276" w:lineRule="auto"/>
        <w:ind w:left="2127" w:hanging="567"/>
        <w:rPr>
          <w:rFonts w:asciiTheme="minorHAnsi" w:hAnsiTheme="minorHAnsi" w:cstheme="minorHAnsi"/>
        </w:rPr>
      </w:pPr>
      <w:r w:rsidRPr="00D77A4D">
        <w:rPr>
          <w:rFonts w:asciiTheme="minorHAnsi" w:hAnsiTheme="minorHAnsi" w:cstheme="minorHAnsi"/>
        </w:rPr>
        <w:t>Zamawiający może</w:t>
      </w:r>
      <w:r w:rsidRPr="00C22B6B">
        <w:rPr>
          <w:rFonts w:asciiTheme="minorHAnsi" w:hAnsiTheme="minorHAnsi" w:cstheme="minorHAnsi"/>
        </w:rPr>
        <w:t xml:space="preserve"> najpóźniej na 2 dni przed terminem dostawy, wskazać Wykonawcy inne miejsce dostawy, położone w granicach administracyjnych m. st. Warszawy. Wykonawca będzie zobowiązany do zapewnienia przy dostawie publikacji do siedziby Zamawiającego lub innego miejsca dostawy na terenie m.st. Warszawy, wskazanego przez Zamawiającego, minimum dwóch osób do wnoszenia poszczególnych dostaw publikacji (czytelnie opisanych paczek </w:t>
      </w:r>
      <w:r w:rsidR="00245523">
        <w:rPr>
          <w:rFonts w:asciiTheme="minorHAnsi" w:hAnsiTheme="minorHAnsi" w:cstheme="minorHAnsi"/>
        </w:rPr>
        <w:br/>
      </w:r>
      <w:r w:rsidRPr="00C22B6B">
        <w:rPr>
          <w:rFonts w:asciiTheme="minorHAnsi" w:hAnsiTheme="minorHAnsi" w:cstheme="minorHAnsi"/>
        </w:rPr>
        <w:t xml:space="preserve">z informacją o liczbie egzemplarzy oraz tytułem publikacji i nazwą PARP) w miejsce wskazane przez Zamawiającego w jego siedzibie lub innego odbiorcy dostaw publikacji. W przypadku braku zapewnienia przez Wykonawcę dwóch osób do wnoszenia poszczególnych </w:t>
      </w:r>
      <w:r w:rsidRPr="009E01DE">
        <w:rPr>
          <w:rFonts w:asciiTheme="minorHAnsi" w:hAnsiTheme="minorHAnsi" w:cstheme="minorHAnsi"/>
        </w:rPr>
        <w:t xml:space="preserve">dostaw publikacji, Zamawiający może odmówić przyjęcia tej dostawy. </w:t>
      </w:r>
    </w:p>
    <w:p w14:paraId="61757A52" w14:textId="77777777" w:rsidR="004762CE" w:rsidRDefault="004762CE" w:rsidP="004762CE">
      <w:pPr>
        <w:spacing w:line="276" w:lineRule="auto"/>
        <w:rPr>
          <w:rFonts w:asciiTheme="minorHAnsi" w:hAnsiTheme="minorHAnsi" w:cstheme="minorHAnsi"/>
        </w:rPr>
      </w:pPr>
    </w:p>
    <w:p w14:paraId="72E29000" w14:textId="77777777" w:rsidR="004762CE" w:rsidRDefault="004762CE" w:rsidP="004762CE">
      <w:pPr>
        <w:pStyle w:val="Akapitzlist"/>
        <w:numPr>
          <w:ilvl w:val="0"/>
          <w:numId w:val="8"/>
        </w:numPr>
        <w:spacing w:line="276" w:lineRule="auto"/>
        <w:rPr>
          <w:rFonts w:asciiTheme="minorHAnsi" w:hAnsiTheme="minorHAnsi" w:cstheme="minorHAnsi"/>
        </w:rPr>
      </w:pPr>
      <w:r>
        <w:rPr>
          <w:rFonts w:asciiTheme="minorHAnsi" w:hAnsiTheme="minorHAnsi" w:cstheme="minorHAnsi"/>
        </w:rPr>
        <w:t>Protokoły</w:t>
      </w:r>
    </w:p>
    <w:p w14:paraId="78BB45A2" w14:textId="77777777" w:rsidR="00BF3D92" w:rsidRDefault="004762CE" w:rsidP="00BF3D92">
      <w:pPr>
        <w:tabs>
          <w:tab w:val="left" w:pos="993"/>
        </w:tabs>
        <w:rPr>
          <w:rFonts w:asciiTheme="minorHAnsi" w:hAnsiTheme="minorHAnsi" w:cstheme="minorHAnsi"/>
        </w:rPr>
      </w:pPr>
      <w:r w:rsidRPr="00C22B6B">
        <w:rPr>
          <w:rFonts w:asciiTheme="minorHAnsi" w:hAnsiTheme="minorHAnsi" w:cstheme="minorHAnsi"/>
          <w:color w:val="000000"/>
        </w:rPr>
        <w:t>Wykonawca zobowiązany jest przygotować protokoły odbioru</w:t>
      </w:r>
      <w:r>
        <w:rPr>
          <w:rFonts w:asciiTheme="minorHAnsi" w:hAnsiTheme="minorHAnsi" w:cstheme="minorHAnsi"/>
          <w:color w:val="000000"/>
        </w:rPr>
        <w:t xml:space="preserve"> za każdą publikację zgodnie </w:t>
      </w:r>
      <w:r w:rsidR="00245523">
        <w:rPr>
          <w:rFonts w:asciiTheme="minorHAnsi" w:hAnsiTheme="minorHAnsi" w:cstheme="minorHAnsi"/>
          <w:color w:val="000000"/>
        </w:rPr>
        <w:br/>
      </w:r>
      <w:r>
        <w:rPr>
          <w:rFonts w:asciiTheme="minorHAnsi" w:hAnsiTheme="minorHAnsi" w:cstheme="minorHAnsi"/>
          <w:color w:val="000000"/>
        </w:rPr>
        <w:t xml:space="preserve">z </w:t>
      </w:r>
      <w:r w:rsidRPr="00336504">
        <w:rPr>
          <w:rFonts w:asciiTheme="minorHAnsi" w:hAnsiTheme="minorHAnsi" w:cstheme="minorHAnsi"/>
          <w:color w:val="000000"/>
        </w:rPr>
        <w:t xml:space="preserve">zapisami </w:t>
      </w:r>
      <w:r w:rsidRPr="00D31C5A">
        <w:rPr>
          <w:rFonts w:asciiTheme="minorHAnsi" w:hAnsiTheme="minorHAnsi" w:cstheme="minorHAnsi"/>
          <w:color w:val="000000"/>
          <w:sz w:val="22"/>
          <w:szCs w:val="22"/>
        </w:rPr>
        <w:t xml:space="preserve">§ 7 </w:t>
      </w:r>
      <w:r w:rsidRPr="00336504">
        <w:rPr>
          <w:rFonts w:asciiTheme="minorHAnsi" w:hAnsiTheme="minorHAnsi" w:cstheme="minorHAnsi"/>
          <w:color w:val="000000"/>
        </w:rPr>
        <w:t>Umowy</w:t>
      </w:r>
      <w:r w:rsidRPr="002C14BF">
        <w:rPr>
          <w:rFonts w:asciiTheme="minorHAnsi" w:hAnsiTheme="minorHAnsi" w:cstheme="minorHAnsi"/>
          <w:color w:val="000000"/>
        </w:rPr>
        <w:t>.</w:t>
      </w:r>
      <w:r w:rsidRPr="002C14BF">
        <w:rPr>
          <w:rFonts w:asciiTheme="minorHAnsi" w:hAnsiTheme="minorHAnsi" w:cstheme="minorHAnsi"/>
        </w:rPr>
        <w:t xml:space="preserve"> Protokoły odbioru powinny zawierać:</w:t>
      </w:r>
    </w:p>
    <w:p w14:paraId="436B5EF3" w14:textId="77777777" w:rsidR="00BF3D92" w:rsidRDefault="004762CE" w:rsidP="00BF3D92">
      <w:pPr>
        <w:pStyle w:val="Akapitzlist"/>
        <w:numPr>
          <w:ilvl w:val="1"/>
          <w:numId w:val="8"/>
        </w:numPr>
        <w:tabs>
          <w:tab w:val="left" w:pos="993"/>
        </w:tabs>
        <w:ind w:left="1134"/>
        <w:rPr>
          <w:rFonts w:asciiTheme="minorHAnsi" w:hAnsiTheme="minorHAnsi" w:cstheme="minorHAnsi"/>
        </w:rPr>
      </w:pPr>
      <w:r w:rsidRPr="00BF3D92">
        <w:rPr>
          <w:rFonts w:asciiTheme="minorHAnsi" w:hAnsiTheme="minorHAnsi" w:cstheme="minorHAnsi"/>
        </w:rPr>
        <w:t>nazwę i liczbę dostarczonych do siedziby Zamawiającego egzemplarzy publikacji,</w:t>
      </w:r>
    </w:p>
    <w:p w14:paraId="092656F0" w14:textId="77777777" w:rsidR="00BF3D92" w:rsidRDefault="004762CE" w:rsidP="00BF3D92">
      <w:pPr>
        <w:pStyle w:val="Akapitzlist"/>
        <w:numPr>
          <w:ilvl w:val="1"/>
          <w:numId w:val="8"/>
        </w:numPr>
        <w:tabs>
          <w:tab w:val="left" w:pos="993"/>
        </w:tabs>
        <w:ind w:left="1134"/>
        <w:rPr>
          <w:rFonts w:asciiTheme="minorHAnsi" w:hAnsiTheme="minorHAnsi" w:cstheme="minorHAnsi"/>
        </w:rPr>
      </w:pPr>
      <w:r w:rsidRPr="00BF3D92">
        <w:rPr>
          <w:rFonts w:asciiTheme="minorHAnsi" w:hAnsiTheme="minorHAnsi" w:cstheme="minorHAnsi"/>
        </w:rPr>
        <w:t>datę i miejsce sporządzenia</w:t>
      </w:r>
      <w:r w:rsidR="00D17D8E">
        <w:rPr>
          <w:rFonts w:asciiTheme="minorHAnsi" w:hAnsiTheme="minorHAnsi" w:cstheme="minorHAnsi"/>
        </w:rPr>
        <w:t xml:space="preserve"> protokołu</w:t>
      </w:r>
      <w:r w:rsidRPr="00BF3D92">
        <w:rPr>
          <w:rFonts w:asciiTheme="minorHAnsi" w:hAnsiTheme="minorHAnsi" w:cstheme="minorHAnsi"/>
        </w:rPr>
        <w:t>;</w:t>
      </w:r>
    </w:p>
    <w:p w14:paraId="1EE1F3AE" w14:textId="77777777" w:rsidR="004762CE" w:rsidRPr="00BF3D92" w:rsidRDefault="004762CE" w:rsidP="00BF3D92">
      <w:pPr>
        <w:pStyle w:val="Akapitzlist"/>
        <w:numPr>
          <w:ilvl w:val="1"/>
          <w:numId w:val="8"/>
        </w:numPr>
        <w:tabs>
          <w:tab w:val="left" w:pos="993"/>
        </w:tabs>
        <w:ind w:left="1134"/>
        <w:rPr>
          <w:rFonts w:asciiTheme="minorHAnsi" w:hAnsiTheme="minorHAnsi" w:cstheme="minorHAnsi"/>
        </w:rPr>
      </w:pPr>
      <w:r w:rsidRPr="00BF3D92">
        <w:rPr>
          <w:rFonts w:asciiTheme="minorHAnsi" w:hAnsiTheme="minorHAnsi" w:cstheme="minorHAnsi"/>
        </w:rPr>
        <w:t>informacje o ewentualnych uwagach/zastrzeżeniach.</w:t>
      </w:r>
    </w:p>
    <w:p w14:paraId="5D4E206B" w14:textId="77777777" w:rsidR="004762CE" w:rsidRPr="006B0E89" w:rsidRDefault="004762CE" w:rsidP="004762CE">
      <w:pPr>
        <w:spacing w:line="276" w:lineRule="auto"/>
        <w:rPr>
          <w:rFonts w:asciiTheme="minorHAnsi" w:hAnsiTheme="minorHAnsi" w:cstheme="minorHAnsi"/>
          <w:color w:val="000000"/>
        </w:rPr>
      </w:pPr>
    </w:p>
    <w:p w14:paraId="193E8A48" w14:textId="77777777" w:rsidR="004762CE" w:rsidRPr="00F50FE5" w:rsidRDefault="004762CE" w:rsidP="00F50FE5">
      <w:pPr>
        <w:ind w:left="360"/>
        <w:rPr>
          <w:rFonts w:asciiTheme="minorHAnsi" w:hAnsiTheme="minorHAnsi"/>
        </w:rPr>
      </w:pPr>
    </w:p>
    <w:p w14:paraId="0F4BA4BB" w14:textId="77777777" w:rsidR="00F50FE5" w:rsidRDefault="00F50FE5" w:rsidP="00F50FE5">
      <w:pPr>
        <w:pStyle w:val="Akapitzlist"/>
      </w:pPr>
    </w:p>
    <w:sectPr w:rsidR="00F50FE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CC36D" w14:textId="77777777" w:rsidR="008918AB" w:rsidRDefault="008918AB" w:rsidP="00F50FE5">
      <w:r>
        <w:separator/>
      </w:r>
    </w:p>
  </w:endnote>
  <w:endnote w:type="continuationSeparator" w:id="0">
    <w:p w14:paraId="6E4E7EFA" w14:textId="77777777" w:rsidR="008918AB" w:rsidRDefault="008918AB" w:rsidP="00F5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5050C" w14:textId="77777777" w:rsidR="008918AB" w:rsidRDefault="008918AB" w:rsidP="00F50FE5">
      <w:r>
        <w:separator/>
      </w:r>
    </w:p>
  </w:footnote>
  <w:footnote w:type="continuationSeparator" w:id="0">
    <w:p w14:paraId="54964991" w14:textId="77777777" w:rsidR="008918AB" w:rsidRDefault="008918AB" w:rsidP="00F50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73901" w14:textId="77777777" w:rsidR="00F50FE5" w:rsidRDefault="00F50FE5">
    <w:pPr>
      <w:pStyle w:val="Nagwek"/>
    </w:pPr>
    <w:r>
      <w:rPr>
        <w:noProof/>
      </w:rPr>
      <w:drawing>
        <wp:inline distT="0" distB="0" distL="0" distR="0" wp14:anchorId="1A9960C4" wp14:editId="09220D82">
          <wp:extent cx="5760720" cy="627380"/>
          <wp:effectExtent l="0" t="0" r="0" b="1270"/>
          <wp:docPr id="13" name="Obraz 13" descr="Ciąg logotypów zawierający logo funduszy europejskich, znak barw Rzeczypospolitej oraz nazwa Rzeczpospolita Polska, logo Polskiej Agencji Rozwoju Przedsiębioczości z napisem Grupa Polski  Fundusz Rozwoju, logo Unii Europejskiej z napisem Europejskie Fundusze Strukturalne i Inwestycyjne. W wersie poniżej logotyp Enterprise Europe Network i logotyp Komisji Europejskiej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iteCollectionImages/Ksiega-Znaku-PARP-Grupa-PFR/Pasek-z-logami/wspolne-finansowani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27380"/>
                  </a:xfrm>
                  <a:prstGeom prst="rect">
                    <a:avLst/>
                  </a:prstGeom>
                  <a:noFill/>
                  <a:ln>
                    <a:noFill/>
                  </a:ln>
                </pic:spPr>
              </pic:pic>
            </a:graphicData>
          </a:graphic>
        </wp:inline>
      </w:drawing>
    </w:r>
  </w:p>
  <w:p w14:paraId="2CB289AC" w14:textId="77777777" w:rsidR="00F50FE5" w:rsidRDefault="00F50FE5">
    <w:pPr>
      <w:pStyle w:val="Nagwek"/>
    </w:pPr>
    <w:r>
      <w:t xml:space="preserve">                                                                                                </w:t>
    </w:r>
  </w:p>
  <w:p w14:paraId="585848B3" w14:textId="77777777" w:rsidR="00F50FE5" w:rsidRDefault="00F50F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E58AC"/>
    <w:multiLevelType w:val="multilevel"/>
    <w:tmpl w:val="171049D8"/>
    <w:lvl w:ilvl="0">
      <w:start w:val="1"/>
      <w:numFmt w:val="decimal"/>
      <w:lvlText w:val="%1."/>
      <w:lvlJc w:val="left"/>
      <w:pPr>
        <w:ind w:left="720" w:hanging="360"/>
      </w:pPr>
    </w:lvl>
    <w:lvl w:ilvl="1">
      <w:start w:val="1"/>
      <w:numFmt w:val="decimal"/>
      <w:isLgl/>
      <w:lvlText w:val="%1.%2."/>
      <w:lvlJc w:val="left"/>
      <w:pPr>
        <w:ind w:left="1440" w:hanging="54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13F12B4C"/>
    <w:multiLevelType w:val="multilevel"/>
    <w:tmpl w:val="460A473C"/>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288" w:hanging="720"/>
      </w:pPr>
      <w:rPr>
        <w:rFonts w:hint="default"/>
        <w:sz w:val="24"/>
        <w:szCs w:val="24"/>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1DA6A83"/>
    <w:multiLevelType w:val="multilevel"/>
    <w:tmpl w:val="95F6997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F264A8"/>
    <w:multiLevelType w:val="multilevel"/>
    <w:tmpl w:val="09763EB6"/>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heme="minorHAnsi" w:eastAsia="Times New Roman" w:hAnsiTheme="minorHAnsi" w:cstheme="minorHAnsi"/>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941C7C"/>
    <w:multiLevelType w:val="multilevel"/>
    <w:tmpl w:val="4872C00E"/>
    <w:lvl w:ilvl="0">
      <w:start w:val="2"/>
      <w:numFmt w:val="decimal"/>
      <w:lvlText w:val="%1."/>
      <w:lvlJc w:val="left"/>
      <w:pPr>
        <w:ind w:left="1068" w:hanging="360"/>
      </w:pPr>
      <w:rPr>
        <w:rFonts w:hint="default"/>
        <w:i w:val="0"/>
      </w:rPr>
    </w:lvl>
    <w:lvl w:ilvl="1">
      <w:start w:val="1"/>
      <w:numFmt w:val="decimal"/>
      <w:lvlText w:val="%1.%2."/>
      <w:lvlJc w:val="left"/>
      <w:pPr>
        <w:ind w:left="786" w:hanging="360"/>
      </w:pPr>
      <w:rPr>
        <w:rFonts w:hint="default"/>
        <w:b/>
        <w:i w:val="0"/>
        <w:sz w:val="24"/>
        <w:szCs w:val="24"/>
      </w:rPr>
    </w:lvl>
    <w:lvl w:ilvl="2">
      <w:start w:val="1"/>
      <w:numFmt w:val="decimal"/>
      <w:lvlText w:val="%1.%2.%3."/>
      <w:lvlJc w:val="left"/>
      <w:pPr>
        <w:ind w:left="1571" w:hanging="720"/>
      </w:pPr>
      <w:rPr>
        <w:rFonts w:hint="default"/>
        <w:b/>
        <w:i w:val="0"/>
      </w:rPr>
    </w:lvl>
    <w:lvl w:ilvl="3">
      <w:start w:val="1"/>
      <w:numFmt w:val="decimal"/>
      <w:lvlText w:val="%1.%2.%3.%4."/>
      <w:lvlJc w:val="left"/>
      <w:pPr>
        <w:ind w:left="4407"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753" w:hanging="1080"/>
      </w:pPr>
      <w:rPr>
        <w:rFonts w:hint="default"/>
      </w:rPr>
    </w:lvl>
    <w:lvl w:ilvl="6">
      <w:start w:val="1"/>
      <w:numFmt w:val="decimal"/>
      <w:lvlText w:val="%1.%2.%3.%4.%5.%6.%7."/>
      <w:lvlJc w:val="left"/>
      <w:pPr>
        <w:ind w:left="8106" w:hanging="1440"/>
      </w:pPr>
      <w:rPr>
        <w:rFonts w:hint="default"/>
      </w:rPr>
    </w:lvl>
    <w:lvl w:ilvl="7">
      <w:start w:val="1"/>
      <w:numFmt w:val="decimal"/>
      <w:lvlText w:val="%1.%2.%3.%4.%5.%6.%7.%8."/>
      <w:lvlJc w:val="left"/>
      <w:pPr>
        <w:ind w:left="9099" w:hanging="1440"/>
      </w:pPr>
      <w:rPr>
        <w:rFonts w:hint="default"/>
      </w:rPr>
    </w:lvl>
    <w:lvl w:ilvl="8">
      <w:start w:val="1"/>
      <w:numFmt w:val="decimal"/>
      <w:lvlText w:val="%1.%2.%3.%4.%5.%6.%7.%8.%9."/>
      <w:lvlJc w:val="left"/>
      <w:pPr>
        <w:ind w:left="10452" w:hanging="1800"/>
      </w:pPr>
      <w:rPr>
        <w:rFonts w:hint="default"/>
      </w:rPr>
    </w:lvl>
  </w:abstractNum>
  <w:abstractNum w:abstractNumId="5" w15:restartNumberingAfterBreak="0">
    <w:nsid w:val="3672755F"/>
    <w:multiLevelType w:val="hybridMultilevel"/>
    <w:tmpl w:val="7AB0198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A210AD7"/>
    <w:multiLevelType w:val="multilevel"/>
    <w:tmpl w:val="21E4772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53C9206C"/>
    <w:multiLevelType w:val="multilevel"/>
    <w:tmpl w:val="01380436"/>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8" w15:restartNumberingAfterBreak="0">
    <w:nsid w:val="5FAE72DE"/>
    <w:multiLevelType w:val="multilevel"/>
    <w:tmpl w:val="E68285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3D0396"/>
    <w:multiLevelType w:val="multilevel"/>
    <w:tmpl w:val="6AA809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4"/>
  </w:num>
  <w:num w:numId="4">
    <w:abstractNumId w:val="8"/>
  </w:num>
  <w:num w:numId="5">
    <w:abstractNumId w:val="1"/>
  </w:num>
  <w:num w:numId="6">
    <w:abstractNumId w:val="3"/>
  </w:num>
  <w:num w:numId="7">
    <w:abstractNumId w:val="7"/>
  </w:num>
  <w:num w:numId="8">
    <w:abstractNumId w:val="2"/>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E5"/>
    <w:rsid w:val="00245523"/>
    <w:rsid w:val="004759BB"/>
    <w:rsid w:val="004762CE"/>
    <w:rsid w:val="0049018D"/>
    <w:rsid w:val="00616E85"/>
    <w:rsid w:val="0086613A"/>
    <w:rsid w:val="008918AB"/>
    <w:rsid w:val="00974AD7"/>
    <w:rsid w:val="00A50B32"/>
    <w:rsid w:val="00A82D06"/>
    <w:rsid w:val="00BF3D92"/>
    <w:rsid w:val="00CE1473"/>
    <w:rsid w:val="00D11DC2"/>
    <w:rsid w:val="00D17D8E"/>
    <w:rsid w:val="00F50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F0A259"/>
  <w15:chartTrackingRefBased/>
  <w15:docId w15:val="{0E41582A-C6F0-49F0-8A7C-C9C8D03C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50FE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50FE5"/>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50FE5"/>
    <w:pPr>
      <w:tabs>
        <w:tab w:val="center" w:pos="4536"/>
        <w:tab w:val="right" w:pos="9072"/>
      </w:tabs>
    </w:pPr>
  </w:style>
  <w:style w:type="character" w:customStyle="1" w:styleId="NagwekZnak">
    <w:name w:val="Nagłówek Znak"/>
    <w:basedOn w:val="Domylnaczcionkaakapitu"/>
    <w:link w:val="Nagwek"/>
    <w:uiPriority w:val="99"/>
    <w:rsid w:val="00F50FE5"/>
  </w:style>
  <w:style w:type="paragraph" w:styleId="Stopka">
    <w:name w:val="footer"/>
    <w:basedOn w:val="Normalny"/>
    <w:link w:val="StopkaZnak"/>
    <w:uiPriority w:val="99"/>
    <w:unhideWhenUsed/>
    <w:rsid w:val="00F50FE5"/>
    <w:pPr>
      <w:tabs>
        <w:tab w:val="center" w:pos="4536"/>
        <w:tab w:val="right" w:pos="9072"/>
      </w:tabs>
    </w:pPr>
  </w:style>
  <w:style w:type="character" w:customStyle="1" w:styleId="StopkaZnak">
    <w:name w:val="Stopka Znak"/>
    <w:basedOn w:val="Domylnaczcionkaakapitu"/>
    <w:link w:val="Stopka"/>
    <w:uiPriority w:val="99"/>
    <w:rsid w:val="00F50FE5"/>
  </w:style>
  <w:style w:type="paragraph" w:styleId="Akapitzlist">
    <w:name w:val="List Paragraph"/>
    <w:aliases w:val="maz_wyliczenie,opis dzialania,K-P_odwolanie,A_wyliczenie,Akapit z listą 1,Table of contents numbered,Akapit z listą5,L1,Numerowanie,List Paragraph,BulletC,Wyliczanie,Obiekt,normalny tekst,Akapit z listą31,Bullets,List Paragraph1"/>
    <w:basedOn w:val="Normalny"/>
    <w:link w:val="AkapitzlistZnak"/>
    <w:uiPriority w:val="34"/>
    <w:qFormat/>
    <w:rsid w:val="00F50FE5"/>
    <w:pPr>
      <w:ind w:left="720"/>
      <w:contextualSpacing/>
    </w:pPr>
  </w:style>
  <w:style w:type="character" w:customStyle="1" w:styleId="AkapitzlistZnak">
    <w:name w:val="Akapit z listą Znak"/>
    <w:aliases w:val="maz_wyliczenie Znak,opis dzialania Znak,K-P_odwolanie Znak,A_wyliczenie Znak,Akapit z listą 1 Znak,Table of contents numbered Znak,Akapit z listą5 Znak,L1 Znak,Numerowanie Znak,List Paragraph Znak,BulletC Znak,Wyliczanie Znak"/>
    <w:link w:val="Akapitzlist"/>
    <w:uiPriority w:val="34"/>
    <w:qFormat/>
    <w:locked/>
    <w:rsid w:val="00F50FE5"/>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F50FE5"/>
    <w:rPr>
      <w:rFonts w:ascii="Arial" w:eastAsia="Times New Roman" w:hAnsi="Arial" w:cs="Arial"/>
      <w:b/>
      <w:bCs/>
      <w:kern w:val="32"/>
      <w:sz w:val="32"/>
      <w:szCs w:val="32"/>
      <w:lang w:eastAsia="pl-PL"/>
    </w:rPr>
  </w:style>
  <w:style w:type="paragraph" w:styleId="Tekstdymka">
    <w:name w:val="Balloon Text"/>
    <w:basedOn w:val="Normalny"/>
    <w:link w:val="TekstdymkaZnak"/>
    <w:uiPriority w:val="99"/>
    <w:semiHidden/>
    <w:unhideWhenUsed/>
    <w:rsid w:val="00D11DC2"/>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1DC2"/>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4762CE"/>
    <w:rPr>
      <w:sz w:val="20"/>
      <w:szCs w:val="20"/>
    </w:rPr>
  </w:style>
  <w:style w:type="character" w:customStyle="1" w:styleId="TekstprzypisukocowegoZnak">
    <w:name w:val="Tekst przypisu końcowego Znak"/>
    <w:basedOn w:val="Domylnaczcionkaakapitu"/>
    <w:link w:val="Tekstprzypisukocowego"/>
    <w:uiPriority w:val="99"/>
    <w:semiHidden/>
    <w:rsid w:val="004762C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762CE"/>
    <w:rPr>
      <w:vertAlign w:val="superscript"/>
    </w:rPr>
  </w:style>
  <w:style w:type="paragraph" w:styleId="Bezodstpw">
    <w:name w:val="No Spacing"/>
    <w:uiPriority w:val="1"/>
    <w:qFormat/>
    <w:rsid w:val="004762CE"/>
    <w:pPr>
      <w:spacing w:after="0" w:line="240" w:lineRule="auto"/>
    </w:pPr>
    <w:rPr>
      <w:rFonts w:ascii="Calibri" w:eastAsia="Calibri" w:hAnsi="Calibri" w:cs="Times New Roman"/>
    </w:rPr>
  </w:style>
  <w:style w:type="character" w:styleId="Odwoaniedokomentarza">
    <w:name w:val="annotation reference"/>
    <w:basedOn w:val="Domylnaczcionkaakapitu"/>
    <w:uiPriority w:val="99"/>
    <w:semiHidden/>
    <w:unhideWhenUsed/>
    <w:rsid w:val="004759BB"/>
    <w:rPr>
      <w:sz w:val="16"/>
      <w:szCs w:val="16"/>
    </w:rPr>
  </w:style>
  <w:style w:type="paragraph" w:styleId="Tekstkomentarza">
    <w:name w:val="annotation text"/>
    <w:basedOn w:val="Normalny"/>
    <w:link w:val="TekstkomentarzaZnak"/>
    <w:uiPriority w:val="99"/>
    <w:semiHidden/>
    <w:unhideWhenUsed/>
    <w:rsid w:val="004759BB"/>
    <w:rPr>
      <w:sz w:val="20"/>
      <w:szCs w:val="20"/>
    </w:rPr>
  </w:style>
  <w:style w:type="character" w:customStyle="1" w:styleId="TekstkomentarzaZnak">
    <w:name w:val="Tekst komentarza Znak"/>
    <w:basedOn w:val="Domylnaczcionkaakapitu"/>
    <w:link w:val="Tekstkomentarza"/>
    <w:uiPriority w:val="99"/>
    <w:semiHidden/>
    <w:rsid w:val="004759B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759BB"/>
    <w:rPr>
      <w:b/>
      <w:bCs/>
    </w:rPr>
  </w:style>
  <w:style w:type="character" w:customStyle="1" w:styleId="TematkomentarzaZnak">
    <w:name w:val="Temat komentarza Znak"/>
    <w:basedOn w:val="TekstkomentarzaZnak"/>
    <w:link w:val="Tematkomentarza"/>
    <w:uiPriority w:val="99"/>
    <w:semiHidden/>
    <w:rsid w:val="004759BB"/>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7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780</Words>
  <Characters>4686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Ekk-Cierniakowska Patrycja</dc:creator>
  <cp:keywords/>
  <dc:description/>
  <cp:lastModifiedBy>Próchniak Beata</cp:lastModifiedBy>
  <cp:revision>9</cp:revision>
  <dcterms:created xsi:type="dcterms:W3CDTF">2019-08-08T11:02:00Z</dcterms:created>
  <dcterms:modified xsi:type="dcterms:W3CDTF">2019-10-16T14:14:00Z</dcterms:modified>
</cp:coreProperties>
</file>